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/>
          <w:b/>
          <w:sz w:val="32"/>
        </w:rPr>
      </w:pPr>
      <w:bookmarkStart w:id="0" w:name="_GoBack"/>
      <w:bookmarkEnd w:id="0"/>
      <w:r>
        <w:rPr>
          <w:rFonts w:hint="eastAsia"/>
          <w:b/>
          <w:sz w:val="32"/>
        </w:rPr>
        <w:t>北  京  石  油  化  工  学  院</w:t>
      </w:r>
    </w:p>
    <w:p>
      <w:pPr>
        <w:spacing w:line="360" w:lineRule="auto"/>
        <w:jc w:val="center"/>
        <w:rPr>
          <w:rFonts w:hint="eastAsia" w:ascii="黑体" w:eastAsia="黑体"/>
          <w:b/>
        </w:rPr>
      </w:pPr>
      <w:r>
        <w:rPr>
          <w:rFonts w:hint="eastAsia" w:ascii="黑体" w:eastAsia="黑体"/>
          <w:b/>
          <w:sz w:val="44"/>
        </w:rPr>
        <w:t>试  卷  分  析</w:t>
      </w:r>
    </w:p>
    <w:p>
      <w:pPr>
        <w:jc w:val="center"/>
        <w:rPr>
          <w:rFonts w:hint="eastAsia"/>
          <w:sz w:val="16"/>
        </w:rPr>
      </w:pPr>
    </w:p>
    <w:p>
      <w:pPr>
        <w:spacing w:line="360" w:lineRule="auto"/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（       －      学年    学期）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371"/>
        <w:gridCol w:w="212"/>
        <w:gridCol w:w="1190"/>
        <w:gridCol w:w="218"/>
        <w:gridCol w:w="650"/>
        <w:gridCol w:w="839"/>
        <w:gridCol w:w="1031"/>
        <w:gridCol w:w="271"/>
        <w:gridCol w:w="450"/>
        <w:gridCol w:w="10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118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课程名称</w:t>
            </w:r>
          </w:p>
        </w:tc>
        <w:tc>
          <w:tcPr>
            <w:tcW w:w="3641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83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学时</w:t>
            </w:r>
          </w:p>
        </w:tc>
        <w:tc>
          <w:tcPr>
            <w:tcW w:w="103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72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学分</w:t>
            </w:r>
          </w:p>
        </w:tc>
        <w:tc>
          <w:tcPr>
            <w:tcW w:w="1088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</w:trPr>
        <w:tc>
          <w:tcPr>
            <w:tcW w:w="1188" w:type="dxa"/>
            <w:noWrap w:val="0"/>
            <w:vAlign w:val="center"/>
          </w:tcPr>
          <w:p>
            <w:pPr>
              <w:spacing w:line="360" w:lineRule="auto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开课单位</w:t>
            </w:r>
          </w:p>
        </w:tc>
        <w:tc>
          <w:tcPr>
            <w:tcW w:w="3641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83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系</w:t>
            </w:r>
          </w:p>
        </w:tc>
        <w:tc>
          <w:tcPr>
            <w:tcW w:w="284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118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任课教师</w:t>
            </w:r>
          </w:p>
        </w:tc>
        <w:tc>
          <w:tcPr>
            <w:tcW w:w="1583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1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出题教师</w:t>
            </w:r>
          </w:p>
        </w:tc>
        <w:tc>
          <w:tcPr>
            <w:tcW w:w="1707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30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试做教师</w:t>
            </w:r>
          </w:p>
        </w:tc>
        <w:tc>
          <w:tcPr>
            <w:tcW w:w="1538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</w:trPr>
        <w:tc>
          <w:tcPr>
            <w:tcW w:w="118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考核班级</w:t>
            </w:r>
          </w:p>
        </w:tc>
        <w:tc>
          <w:tcPr>
            <w:tcW w:w="7320" w:type="dxa"/>
            <w:gridSpan w:val="10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</w:trPr>
        <w:tc>
          <w:tcPr>
            <w:tcW w:w="118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考试时间</w:t>
            </w:r>
          </w:p>
        </w:tc>
        <w:tc>
          <w:tcPr>
            <w:tcW w:w="4480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752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考核类型</w:t>
            </w:r>
          </w:p>
        </w:tc>
        <w:tc>
          <w:tcPr>
            <w:tcW w:w="1088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118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考试方式</w:t>
            </w:r>
          </w:p>
        </w:tc>
        <w:tc>
          <w:tcPr>
            <w:tcW w:w="137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开卷、闭卷</w:t>
            </w: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期望平均分</w:t>
            </w:r>
          </w:p>
        </w:tc>
        <w:tc>
          <w:tcPr>
            <w:tcW w:w="1489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752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难度系数</w:t>
            </w:r>
          </w:p>
        </w:tc>
        <w:tc>
          <w:tcPr>
            <w:tcW w:w="1088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</w:tr>
    </w:tbl>
    <w:p>
      <w:pPr>
        <w:spacing w:line="360" w:lineRule="auto"/>
        <w:rPr>
          <w:rFonts w:hint="eastAsia"/>
          <w:sz w:val="24"/>
        </w:rPr>
      </w:pPr>
    </w:p>
    <w:tbl>
      <w:tblPr>
        <w:tblStyle w:val="2"/>
        <w:tblW w:w="8777" w:type="dxa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1182"/>
        <w:gridCol w:w="742"/>
        <w:gridCol w:w="700"/>
        <w:gridCol w:w="812"/>
        <w:gridCol w:w="826"/>
        <w:gridCol w:w="778"/>
        <w:gridCol w:w="831"/>
        <w:gridCol w:w="1204"/>
        <w:gridCol w:w="10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531" w:hRule="atLeast"/>
        </w:trPr>
        <w:tc>
          <w:tcPr>
            <w:tcW w:w="652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序号</w:t>
            </w:r>
          </w:p>
        </w:tc>
        <w:tc>
          <w:tcPr>
            <w:tcW w:w="1182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班级</w:t>
            </w:r>
          </w:p>
        </w:tc>
        <w:tc>
          <w:tcPr>
            <w:tcW w:w="4689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人</w:t>
            </w:r>
            <w:r>
              <w:rPr>
                <w:b/>
              </w:rPr>
              <w:t xml:space="preserve">         </w:t>
            </w:r>
            <w:r>
              <w:rPr>
                <w:rFonts w:hint="eastAsia"/>
                <w:b/>
              </w:rPr>
              <w:t>数</w:t>
            </w:r>
          </w:p>
        </w:tc>
        <w:tc>
          <w:tcPr>
            <w:tcW w:w="1204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平均分</w:t>
            </w:r>
          </w:p>
        </w:tc>
        <w:tc>
          <w:tcPr>
            <w:tcW w:w="1050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标准差</w:t>
            </w:r>
          </w:p>
          <w:p>
            <w:pPr>
              <w:spacing w:line="36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（δ）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592" w:hRule="atLeast"/>
        </w:trPr>
        <w:tc>
          <w:tcPr>
            <w:tcW w:w="0" w:type="auto"/>
            <w:vMerge w:val="continue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</w:rPr>
            </w:pPr>
          </w:p>
        </w:tc>
        <w:tc>
          <w:tcPr>
            <w:tcW w:w="742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学生总数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90分以上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80-89分</w:t>
            </w:r>
          </w:p>
        </w:tc>
        <w:tc>
          <w:tcPr>
            <w:tcW w:w="82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70-79分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60-69分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60分以下</w:t>
            </w: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</w:trPr>
        <w:tc>
          <w:tcPr>
            <w:tcW w:w="65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4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1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2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</w:trPr>
        <w:tc>
          <w:tcPr>
            <w:tcW w:w="65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4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1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2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</w:trPr>
        <w:tc>
          <w:tcPr>
            <w:tcW w:w="65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4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1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2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</w:trPr>
        <w:tc>
          <w:tcPr>
            <w:tcW w:w="65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4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1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2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</w:trPr>
        <w:tc>
          <w:tcPr>
            <w:tcW w:w="65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4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1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2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</w:trPr>
        <w:tc>
          <w:tcPr>
            <w:tcW w:w="65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4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1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2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</w:trPr>
        <w:tc>
          <w:tcPr>
            <w:tcW w:w="65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4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1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2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</w:trPr>
        <w:tc>
          <w:tcPr>
            <w:tcW w:w="65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4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1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2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</w:trPr>
        <w:tc>
          <w:tcPr>
            <w:tcW w:w="65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4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1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2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</w:trPr>
        <w:tc>
          <w:tcPr>
            <w:tcW w:w="65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4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1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2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</w:trPr>
        <w:tc>
          <w:tcPr>
            <w:tcW w:w="65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11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4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1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2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</w:trPr>
        <w:tc>
          <w:tcPr>
            <w:tcW w:w="65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12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4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1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2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</w:trPr>
        <w:tc>
          <w:tcPr>
            <w:tcW w:w="183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合计</w:t>
            </w:r>
          </w:p>
        </w:tc>
        <w:tc>
          <w:tcPr>
            <w:tcW w:w="74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1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2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</w:tr>
    </w:tbl>
    <w:p>
      <w:pPr>
        <w:rPr>
          <w:rFonts w:hint="eastAsia"/>
          <w:sz w:val="24"/>
        </w:rPr>
      </w:pPr>
      <w:r>
        <w:rPr>
          <w:rFonts w:hint="eastAsia"/>
          <w:sz w:val="24"/>
        </w:rPr>
        <w:t>注：1.</w:t>
      </w:r>
      <w:r>
        <w:rPr>
          <w:position w:val="-28"/>
          <w:sz w:val="24"/>
        </w:rPr>
        <w:object>
          <v:shape id="_x0000_i1025" o:spt="75" type="#_x0000_t75" style="height:27.1pt;width:95.45pt;" o:ole="t" fillcolor="#000011" filled="f" o:preferrelative="t" stroked="f" coordsize="21600,21600">
            <v:path/>
            <v:fill on="f" alignshape="1" focussize="0,0"/>
            <v:stroke on="f"/>
            <v:imagedata r:id="rId5" grayscale="f" bilevel="f" o:title=""/>
            <o:lock v:ext="edit" aspectratio="t"/>
            <w10:wrap type="none"/>
            <w10:anchorlock/>
          </v:shape>
          <o:OLEObject Type="Embed" ProgID="Equation.3" ShapeID="_x0000_i1025" DrawAspect="Content" ObjectID="_1468075725" r:id="rId4">
            <o:LockedField>false</o:LockedField>
          </o:OLEObject>
        </w:objec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             </w:t>
      </w:r>
      <w:r>
        <w:rPr>
          <w:sz w:val="24"/>
        </w:rPr>
        <w:t>i=1</w:t>
      </w:r>
      <w:r>
        <w:rPr>
          <w:rFonts w:hint="eastAsia"/>
          <w:sz w:val="24"/>
        </w:rPr>
        <w:t>,2,</w:t>
      </w:r>
      <w:r>
        <w:rPr>
          <w:sz w:val="24"/>
        </w:rPr>
        <w:t>…</w:t>
      </w:r>
      <w:r>
        <w:rPr>
          <w:rFonts w:hint="eastAsia"/>
          <w:sz w:val="24"/>
        </w:rPr>
        <w:t>,n</w:t>
      </w:r>
    </w:p>
    <w:p>
      <w:pPr>
        <w:ind w:firstLine="480"/>
        <w:rPr>
          <w:rFonts w:hint="eastAsia"/>
          <w:sz w:val="24"/>
        </w:rPr>
      </w:pPr>
      <w:r>
        <w:rPr>
          <w:rFonts w:hint="eastAsia"/>
          <w:sz w:val="24"/>
        </w:rPr>
        <w:t>2.参加考试的班级数超多12个的，请另附页填写。</w:t>
      </w:r>
    </w:p>
    <w:p>
      <w:pPr>
        <w:ind w:firstLine="480"/>
        <w:rPr>
          <w:sz w:val="24"/>
        </w:rPr>
      </w:pPr>
    </w:p>
    <w:p>
      <w:pPr>
        <w:jc w:val="right"/>
        <w:rPr>
          <w:rFonts w:hint="eastAsia"/>
          <w:sz w:val="24"/>
        </w:rPr>
      </w:pPr>
      <w:r>
        <w:rPr>
          <w:rFonts w:hint="eastAsia"/>
          <w:sz w:val="24"/>
        </w:rPr>
        <w:t xml:space="preserve">填写日期：  </w:t>
      </w:r>
      <w:r>
        <w:rPr>
          <w:rFonts w:hint="eastAsia"/>
          <w:sz w:val="24"/>
          <w:u w:val="single"/>
        </w:rPr>
        <w:t xml:space="preserve">       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u w:val="single"/>
        </w:rPr>
        <w:t xml:space="preserve">      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u w:val="single"/>
        </w:rPr>
        <w:t xml:space="preserve">      </w:t>
      </w:r>
      <w:r>
        <w:rPr>
          <w:rFonts w:hint="eastAsia"/>
          <w:sz w:val="24"/>
        </w:rPr>
        <w:t>日</w:t>
      </w:r>
    </w:p>
    <w:p>
      <w:pPr>
        <w:spacing w:line="360" w:lineRule="auto"/>
        <w:jc w:val="center"/>
        <w:rPr>
          <w:rFonts w:hint="eastAsia"/>
          <w:b/>
          <w:sz w:val="32"/>
        </w:rPr>
      </w:pPr>
    </w:p>
    <w:p>
      <w:pPr>
        <w:spacing w:line="360" w:lineRule="auto"/>
        <w:jc w:val="center"/>
        <w:rPr>
          <w:rFonts w:hint="eastAsia"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</w:rPr>
        <w:t>试   卷   分   析</w:t>
      </w:r>
    </w:p>
    <w:p>
      <w:p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一、对试卷的质量、出题的覆盖面、难度及侧重点的总体评价。（以教学大纲为依据，是否符合大纲重点、难点和覆盖面）</w:t>
      </w:r>
    </w:p>
    <w:p>
      <w:pPr>
        <w:spacing w:line="360" w:lineRule="auto"/>
        <w:rPr>
          <w:rFonts w:hint="eastAsia"/>
          <w:sz w:val="24"/>
        </w:rPr>
      </w:pPr>
    </w:p>
    <w:p>
      <w:pPr>
        <w:spacing w:line="360" w:lineRule="auto"/>
        <w:rPr>
          <w:rFonts w:hint="eastAsia"/>
          <w:sz w:val="24"/>
        </w:rPr>
      </w:pPr>
    </w:p>
    <w:p>
      <w:pPr>
        <w:spacing w:line="360" w:lineRule="auto"/>
        <w:rPr>
          <w:rFonts w:hint="eastAsia"/>
          <w:sz w:val="24"/>
        </w:rPr>
      </w:pPr>
    </w:p>
    <w:p>
      <w:pPr>
        <w:spacing w:line="360" w:lineRule="auto"/>
        <w:rPr>
          <w:rFonts w:hint="eastAsia"/>
          <w:sz w:val="24"/>
        </w:rPr>
      </w:pPr>
    </w:p>
    <w:p>
      <w:pPr>
        <w:spacing w:line="360" w:lineRule="auto"/>
        <w:rPr>
          <w:rFonts w:hint="eastAsia"/>
          <w:sz w:val="24"/>
        </w:rPr>
      </w:pPr>
    </w:p>
    <w:p>
      <w:pPr>
        <w:spacing w:line="360" w:lineRule="auto"/>
        <w:rPr>
          <w:rFonts w:hint="eastAsia"/>
          <w:sz w:val="24"/>
        </w:rPr>
      </w:pPr>
    </w:p>
    <w:p>
      <w:p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二、对班级学生考试成绩的总体评价及原因分析</w:t>
      </w:r>
    </w:p>
    <w:p>
      <w:pPr>
        <w:spacing w:line="360" w:lineRule="auto"/>
        <w:rPr>
          <w:rFonts w:hint="eastAsia"/>
          <w:sz w:val="24"/>
        </w:rPr>
      </w:pPr>
    </w:p>
    <w:p>
      <w:pPr>
        <w:spacing w:line="360" w:lineRule="auto"/>
        <w:rPr>
          <w:rFonts w:hint="eastAsia"/>
          <w:sz w:val="24"/>
        </w:rPr>
      </w:pPr>
    </w:p>
    <w:p>
      <w:pPr>
        <w:spacing w:line="360" w:lineRule="auto"/>
        <w:rPr>
          <w:rFonts w:hint="eastAsia"/>
          <w:sz w:val="24"/>
        </w:rPr>
      </w:pPr>
    </w:p>
    <w:p>
      <w:pPr>
        <w:spacing w:line="360" w:lineRule="auto"/>
        <w:rPr>
          <w:rFonts w:hint="eastAsia"/>
          <w:sz w:val="24"/>
        </w:rPr>
      </w:pPr>
    </w:p>
    <w:p>
      <w:pPr>
        <w:spacing w:line="360" w:lineRule="auto"/>
        <w:rPr>
          <w:rFonts w:hint="eastAsia"/>
          <w:sz w:val="24"/>
        </w:rPr>
      </w:pPr>
    </w:p>
    <w:p>
      <w:pPr>
        <w:spacing w:line="360" w:lineRule="auto"/>
        <w:rPr>
          <w:rFonts w:hint="eastAsia"/>
          <w:sz w:val="24"/>
        </w:rPr>
      </w:pPr>
    </w:p>
    <w:p>
      <w:p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三、对反常成绩的原因分析</w:t>
      </w:r>
    </w:p>
    <w:p>
      <w:pPr>
        <w:spacing w:line="360" w:lineRule="auto"/>
        <w:rPr>
          <w:rFonts w:hint="eastAsia"/>
          <w:sz w:val="24"/>
        </w:rPr>
      </w:pPr>
    </w:p>
    <w:p>
      <w:pPr>
        <w:spacing w:line="360" w:lineRule="auto"/>
        <w:rPr>
          <w:rFonts w:hint="eastAsia"/>
          <w:sz w:val="24"/>
        </w:rPr>
      </w:pPr>
    </w:p>
    <w:p>
      <w:pPr>
        <w:spacing w:line="360" w:lineRule="auto"/>
        <w:rPr>
          <w:rFonts w:hint="eastAsia"/>
          <w:sz w:val="24"/>
        </w:rPr>
      </w:pPr>
    </w:p>
    <w:p>
      <w:pPr>
        <w:spacing w:line="360" w:lineRule="auto"/>
        <w:rPr>
          <w:rFonts w:hint="eastAsia"/>
          <w:sz w:val="24"/>
        </w:rPr>
      </w:pPr>
    </w:p>
    <w:p>
      <w:pPr>
        <w:spacing w:line="360" w:lineRule="auto"/>
        <w:rPr>
          <w:rFonts w:hint="eastAsia"/>
          <w:sz w:val="24"/>
        </w:rPr>
      </w:pPr>
    </w:p>
    <w:p>
      <w:pPr>
        <w:spacing w:line="360" w:lineRule="auto"/>
        <w:rPr>
          <w:rFonts w:hint="eastAsia"/>
          <w:sz w:val="24"/>
        </w:rPr>
      </w:pPr>
    </w:p>
    <w:p>
      <w:pPr>
        <w:spacing w:line="360" w:lineRule="auto"/>
        <w:rPr>
          <w:rFonts w:hint="eastAsia"/>
        </w:rPr>
      </w:pPr>
      <w:r>
        <w:rPr>
          <w:rFonts w:hint="eastAsia"/>
          <w:sz w:val="24"/>
        </w:rPr>
        <w:t>四、问题、建议及今后注意的问题</w:t>
      </w:r>
    </w:p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/>
        </w:rPr>
      </w:pPr>
      <w:r>
        <w:rPr>
          <w:rFonts w:hint="eastAsia"/>
        </w:rPr>
        <w:t xml:space="preserve">                                                     教务处制    2005年9月修改</w:t>
      </w:r>
    </w:p>
    <w:sectPr>
      <w:pgSz w:w="11906" w:h="16838"/>
      <w:pgMar w:top="1246" w:right="1800" w:bottom="124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6D1"/>
    <w:rsid w:val="000053B9"/>
    <w:rsid w:val="00172369"/>
    <w:rsid w:val="009336D1"/>
    <w:rsid w:val="009A7341"/>
    <w:rsid w:val="00C04A01"/>
    <w:rsid w:val="00D77C3D"/>
    <w:rsid w:val="72DB4F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1</Pages>
  <Words>105</Words>
  <Characters>600</Characters>
  <Lines>5</Lines>
  <Paragraphs>1</Paragraphs>
  <TotalTime>0</TotalTime>
  <ScaleCrop>false</ScaleCrop>
  <LinksUpToDate>false</LinksUpToDate>
  <CharactersWithSpaces>704</CharactersWithSpaces>
  <Application>WPS Office_12.1.0.15066_F1E327BC-269C-435d-A152-05C5408002CA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2000-12-01T02:59:00Z</dcterms:created>
  <dc:creator>hu ying</dc:creator>
  <cp:lastModifiedBy>jwc</cp:lastModifiedBy>
  <dcterms:modified xsi:type="dcterms:W3CDTF">2023-07-11T03:09:47Z</dcterms:modified>
  <dc:title>北京石油化工学院试卷分析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2052-12.1.0.15066</vt:lpwstr>
  </property>
  <property fmtid="{D5CDD505-2E9C-101B-9397-08002B2CF9AE}" pid="3" name="ICV">
    <vt:lpwstr>6777DB8D435C40A1AC2ADA821E6AB67E_13</vt:lpwstr>
  </property>
</Properties>
</file>